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D6" w:rsidRPr="00E96ED6" w:rsidRDefault="00E96ED6" w:rsidP="00E96ED6">
      <w:pPr>
        <w:rPr>
          <w:rFonts w:ascii="Book Antiqua" w:eastAsia="Arial MT" w:hAnsi="Book Antiqua" w:cs="Arial"/>
          <w:sz w:val="24"/>
          <w:szCs w:val="24"/>
          <w:lang w:val="pt-PT"/>
        </w:rPr>
      </w:pPr>
    </w:p>
    <w:p w:rsidR="00E96ED6" w:rsidRPr="00E96ED6" w:rsidRDefault="00FE0778" w:rsidP="00E96ED6">
      <w:pPr>
        <w:widowControl w:val="0"/>
        <w:autoSpaceDE w:val="0"/>
        <w:autoSpaceDN w:val="0"/>
        <w:spacing w:after="0" w:line="360" w:lineRule="auto"/>
        <w:jc w:val="center"/>
        <w:rPr>
          <w:rFonts w:ascii="Book Antiqua" w:hAnsi="Book Antiqua"/>
          <w:b/>
          <w:bCs/>
          <w:sz w:val="20"/>
          <w:szCs w:val="20"/>
          <w:u w:val="single"/>
        </w:rPr>
      </w:pPr>
      <w:r>
        <w:rPr>
          <w:rFonts w:ascii="Book Antiqua" w:eastAsia="Arial MT" w:hAnsi="Book Antiqua" w:cs="Arial MT"/>
          <w:b/>
          <w:bCs/>
          <w:sz w:val="20"/>
          <w:szCs w:val="20"/>
          <w:u w:val="single"/>
          <w:lang w:val="pt-PT"/>
        </w:rPr>
        <w:t>PROPOSTA DE PREÇO</w:t>
      </w: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 w:cs="Arial MT"/>
          <w:b/>
          <w:bCs/>
          <w:sz w:val="20"/>
          <w:szCs w:val="20"/>
          <w:lang w:val="pt-PT"/>
        </w:rPr>
      </w:pPr>
      <w:r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>RAZÃO SOCIAL:</w:t>
      </w: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 w:cs="Arial MT"/>
          <w:b/>
          <w:bCs/>
          <w:sz w:val="20"/>
          <w:szCs w:val="20"/>
          <w:lang w:val="pt-PT"/>
        </w:rPr>
      </w:pPr>
      <w:r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>CNPJ Nº:</w:t>
      </w: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 w:cs="Arial MT"/>
          <w:b/>
          <w:bCs/>
          <w:sz w:val="20"/>
          <w:szCs w:val="20"/>
          <w:lang w:val="pt-PT"/>
        </w:rPr>
      </w:pPr>
      <w:r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>ENDEREÇO:</w:t>
      </w: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 w:cs="Arial MT"/>
          <w:b/>
          <w:bCs/>
          <w:sz w:val="20"/>
          <w:szCs w:val="20"/>
          <w:lang w:val="pt-PT"/>
        </w:rPr>
      </w:pPr>
      <w:r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>BAIRRO:</w:t>
      </w: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 w:cs="Arial MT"/>
          <w:b/>
          <w:bCs/>
          <w:sz w:val="20"/>
          <w:szCs w:val="20"/>
          <w:lang w:val="pt-PT"/>
        </w:rPr>
      </w:pPr>
      <w:r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>CIDADE/ESTADO:</w:t>
      </w: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 w:cs="Arial MT"/>
          <w:b/>
          <w:bCs/>
          <w:sz w:val="20"/>
          <w:szCs w:val="20"/>
          <w:lang w:val="pt-PT"/>
        </w:rPr>
      </w:pPr>
      <w:r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 xml:space="preserve">E-MAIL: 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6843"/>
        <w:gridCol w:w="1855"/>
        <w:gridCol w:w="1640"/>
      </w:tblGrid>
      <w:tr w:rsidR="00E96ED6" w:rsidRPr="00E96ED6" w:rsidTr="00E13858"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  <w:t>Valor Total</w:t>
            </w:r>
          </w:p>
        </w:tc>
      </w:tr>
      <w:tr w:rsidR="00E96ED6" w:rsidRPr="00E96ED6" w:rsidTr="00E13858"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  <w:t>• Serviço de acesso à internet via fibra óptica;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  <w:t>• Link não dedicado (compartilhado);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  <w:t>• Disponibilização de IP fixo público;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  <w:t>• Velocidade mínima garantida de 600 Mbps de download e 600 Mbps de upload, ou superior;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  <w:t>• Franquia de dados ilimitada, sem redução de velocidade;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  <w:t>• Disponibilidade mínima mensal de 99%;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"/>
                <w:sz w:val="20"/>
                <w:szCs w:val="20"/>
                <w:lang w:val="pt-PT"/>
              </w:rPr>
              <w:t>• Latência compatível com aplicações corporativas e institucionais.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E96ED6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• </w:t>
            </w:r>
            <w:r w:rsidRPr="00E96ED6">
              <w:rPr>
                <w:rFonts w:ascii="Book Antiqua" w:hAnsi="Book Antiqua"/>
                <w:bCs/>
                <w:sz w:val="20"/>
                <w:szCs w:val="20"/>
              </w:rPr>
              <w:t>Fornecimento, instalação e configuração de todos os equipamentos necessários ao funcionamento do serviço (ONU, modem, roteador ou equivalentes), em regime de comodato, sem custos adicionais;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E96ED6">
              <w:rPr>
                <w:rFonts w:ascii="Book Antiqua" w:hAnsi="Book Antiqua"/>
                <w:bCs/>
                <w:sz w:val="20"/>
                <w:szCs w:val="20"/>
              </w:rPr>
              <w:t>• Garantia de acesso administrativo completo ao roteador principal, permitindo: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E96ED6">
              <w:rPr>
                <w:rFonts w:ascii="Book Antiqua" w:hAnsi="Book Antiqua"/>
                <w:bCs/>
                <w:sz w:val="20"/>
                <w:szCs w:val="20"/>
              </w:rPr>
              <w:t>• Criação e alteração de regras de firewall;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E96ED6">
              <w:rPr>
                <w:rFonts w:ascii="Book Antiqua" w:hAnsi="Book Antiqua"/>
                <w:bCs/>
                <w:sz w:val="20"/>
                <w:szCs w:val="20"/>
              </w:rPr>
              <w:t>• Configuração de NAT, redirecionamentos de portas e VPN;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E96ED6">
              <w:rPr>
                <w:rFonts w:ascii="Book Antiqua" w:hAnsi="Book Antiqua"/>
                <w:bCs/>
                <w:sz w:val="20"/>
                <w:szCs w:val="20"/>
              </w:rPr>
              <w:t>• Definição de políticas de segurança e gerenciamento de rede;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proofErr w:type="gramStart"/>
            <w:r w:rsidRPr="00E96ED6">
              <w:rPr>
                <w:rFonts w:ascii="Book Antiqua" w:hAnsi="Book Antiqua"/>
                <w:bCs/>
                <w:sz w:val="20"/>
                <w:szCs w:val="20"/>
              </w:rPr>
              <w:t>• Os</w:t>
            </w:r>
            <w:proofErr w:type="gramEnd"/>
            <w:r w:rsidRPr="00E96ED6">
              <w:rPr>
                <w:rFonts w:ascii="Book Antiqua" w:hAnsi="Book Antiqua"/>
                <w:bCs/>
                <w:sz w:val="20"/>
                <w:szCs w:val="20"/>
              </w:rPr>
              <w:t xml:space="preserve"> equipamentos fornecidos deverão ser compatíveis com a velocidade contratada e com uso corporativo;</w:t>
            </w:r>
          </w:p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E96ED6">
              <w:rPr>
                <w:rFonts w:ascii="Book Antiqua" w:hAnsi="Book Antiqua"/>
                <w:bCs/>
                <w:sz w:val="20"/>
                <w:szCs w:val="20"/>
              </w:rPr>
              <w:t>• Substituição imediata dos equipamentos em caso de falha.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  <w:t>R$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ED6" w:rsidRPr="00E96ED6" w:rsidRDefault="00E96ED6" w:rsidP="00E96ED6">
            <w:pPr>
              <w:widowControl w:val="0"/>
              <w:autoSpaceDE w:val="0"/>
              <w:autoSpaceDN w:val="0"/>
              <w:spacing w:line="360" w:lineRule="auto"/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</w:pPr>
            <w:r w:rsidRPr="00E96ED6">
              <w:rPr>
                <w:rFonts w:ascii="Book Antiqua" w:eastAsia="Arial MT" w:hAnsi="Book Antiqua" w:cs="Arial MT"/>
                <w:b/>
                <w:bCs/>
                <w:sz w:val="20"/>
                <w:szCs w:val="20"/>
                <w:lang w:val="pt-PT"/>
              </w:rPr>
              <w:t>R$</w:t>
            </w:r>
          </w:p>
        </w:tc>
      </w:tr>
    </w:tbl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/>
          <w:b/>
          <w:bCs/>
          <w:sz w:val="20"/>
          <w:szCs w:val="20"/>
          <w:lang w:val="pt-PT"/>
        </w:rPr>
      </w:pP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 w:cs="Arial MT"/>
          <w:sz w:val="20"/>
          <w:szCs w:val="20"/>
          <w:lang w:val="pt-PT"/>
        </w:rPr>
      </w:pPr>
    </w:p>
    <w:p w:rsidR="00E96ED6" w:rsidRPr="00E96ED6" w:rsidRDefault="00FE0778" w:rsidP="00E96ED6">
      <w:pPr>
        <w:widowControl w:val="0"/>
        <w:autoSpaceDE w:val="0"/>
        <w:autoSpaceDN w:val="0"/>
        <w:spacing w:after="0" w:line="360" w:lineRule="auto"/>
        <w:jc w:val="right"/>
        <w:rPr>
          <w:rFonts w:ascii="Book Antiqua" w:eastAsia="Arial MT" w:hAnsi="Book Antiqua" w:cs="Arial MT"/>
          <w:sz w:val="20"/>
          <w:szCs w:val="20"/>
          <w:lang w:val="pt-PT"/>
        </w:rPr>
      </w:pPr>
      <w:r>
        <w:rPr>
          <w:rFonts w:ascii="Book Antiqua" w:eastAsia="Arial MT" w:hAnsi="Book Antiqua" w:cs="Arial MT"/>
          <w:sz w:val="20"/>
          <w:szCs w:val="20"/>
          <w:lang w:val="pt-PT"/>
        </w:rPr>
        <w:t>__________________</w:t>
      </w:r>
      <w:bookmarkStart w:id="0" w:name="_GoBack"/>
      <w:bookmarkEnd w:id="0"/>
      <w:r w:rsidR="00E96ED6" w:rsidRPr="00E96ED6">
        <w:rPr>
          <w:rFonts w:ascii="Book Antiqua" w:eastAsia="Arial MT" w:hAnsi="Book Antiqua" w:cs="Arial MT"/>
          <w:sz w:val="20"/>
          <w:szCs w:val="20"/>
          <w:lang w:val="pt-PT"/>
        </w:rPr>
        <w:t>, _____de _________________de 2026.</w:t>
      </w: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 w:cs="Arial MT"/>
          <w:sz w:val="20"/>
          <w:szCs w:val="20"/>
          <w:lang w:val="pt-PT"/>
        </w:rPr>
      </w:pP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rPr>
          <w:rFonts w:ascii="Book Antiqua" w:eastAsia="Arial MT" w:hAnsi="Book Antiqua" w:cs="Arial MT"/>
          <w:sz w:val="20"/>
          <w:szCs w:val="20"/>
          <w:lang w:val="pt-PT"/>
        </w:rPr>
      </w:pP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jc w:val="center"/>
        <w:rPr>
          <w:rFonts w:ascii="Book Antiqua" w:eastAsia="Arial MT" w:hAnsi="Book Antiqua" w:cs="Arial MT"/>
          <w:b/>
          <w:bCs/>
          <w:sz w:val="20"/>
          <w:szCs w:val="20"/>
          <w:lang w:val="pt-PT"/>
        </w:rPr>
      </w:pPr>
      <w:r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>_________________________________</w:t>
      </w:r>
    </w:p>
    <w:p w:rsidR="00E96ED6" w:rsidRPr="00E96ED6" w:rsidRDefault="00E96ED6" w:rsidP="00E96ED6">
      <w:pPr>
        <w:widowControl w:val="0"/>
        <w:autoSpaceDE w:val="0"/>
        <w:autoSpaceDN w:val="0"/>
        <w:spacing w:after="0" w:line="360" w:lineRule="auto"/>
        <w:jc w:val="center"/>
        <w:rPr>
          <w:rFonts w:ascii="Book Antiqua" w:eastAsia="Arial MT" w:hAnsi="Book Antiqua" w:cs="Arial MT"/>
          <w:b/>
          <w:bCs/>
          <w:sz w:val="20"/>
          <w:szCs w:val="20"/>
          <w:lang w:val="pt-PT"/>
        </w:rPr>
      </w:pPr>
      <w:r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>Nome do responsável</w:t>
      </w:r>
    </w:p>
    <w:p w:rsidR="00E96ED6" w:rsidRPr="00E96ED6" w:rsidRDefault="00FE0778" w:rsidP="00E96ED6">
      <w:pPr>
        <w:widowControl w:val="0"/>
        <w:autoSpaceDE w:val="0"/>
        <w:autoSpaceDN w:val="0"/>
        <w:spacing w:after="0" w:line="240" w:lineRule="auto"/>
        <w:ind w:left="3969"/>
        <w:rPr>
          <w:rFonts w:ascii="Book Antiqua" w:eastAsia="Arial MT" w:hAnsi="Book Antiqua" w:cs="Arial MT"/>
          <w:b/>
          <w:bCs/>
          <w:sz w:val="20"/>
          <w:szCs w:val="20"/>
          <w:lang w:val="pt-PT"/>
        </w:rPr>
      </w:pPr>
      <w:r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 xml:space="preserve">    </w:t>
      </w:r>
      <w:r w:rsidR="00E96ED6"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>CPF:</w:t>
      </w:r>
    </w:p>
    <w:p w:rsidR="00E96ED6" w:rsidRPr="00E96ED6" w:rsidRDefault="00FE0778" w:rsidP="00E96ED6">
      <w:pPr>
        <w:widowControl w:val="0"/>
        <w:autoSpaceDE w:val="0"/>
        <w:autoSpaceDN w:val="0"/>
        <w:spacing w:after="0" w:line="240" w:lineRule="auto"/>
        <w:ind w:left="3969"/>
        <w:rPr>
          <w:rFonts w:ascii="Book Antiqua" w:eastAsia="Arial MT" w:hAnsi="Book Antiqua" w:cs="Arial MT"/>
          <w:sz w:val="20"/>
          <w:szCs w:val="20"/>
          <w:lang w:val="pt-PT"/>
        </w:rPr>
      </w:pPr>
      <w:r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 xml:space="preserve">    </w:t>
      </w:r>
      <w:r w:rsidR="00E96ED6" w:rsidRPr="00E96ED6">
        <w:rPr>
          <w:rFonts w:ascii="Book Antiqua" w:eastAsia="Arial MT" w:hAnsi="Book Antiqua" w:cs="Arial MT"/>
          <w:b/>
          <w:bCs/>
          <w:sz w:val="20"/>
          <w:szCs w:val="20"/>
          <w:lang w:val="pt-PT"/>
        </w:rPr>
        <w:t>RG:</w:t>
      </w:r>
    </w:p>
    <w:p w:rsidR="00F940B3" w:rsidRPr="00025146" w:rsidRDefault="00F940B3">
      <w:pPr>
        <w:rPr>
          <w:sz w:val="20"/>
          <w:szCs w:val="20"/>
        </w:rPr>
      </w:pPr>
    </w:p>
    <w:sectPr w:rsidR="00F940B3" w:rsidRPr="00025146" w:rsidSect="00BC75AB">
      <w:headerReference w:type="default" r:id="rId6"/>
      <w:footerReference w:type="default" r:id="rId7"/>
      <w:pgSz w:w="11906" w:h="16838"/>
      <w:pgMar w:top="1418" w:right="707" w:bottom="1418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02F" w:rsidRDefault="007F402F" w:rsidP="00E96ED6">
      <w:pPr>
        <w:spacing w:after="0" w:line="240" w:lineRule="auto"/>
      </w:pPr>
      <w:r>
        <w:separator/>
      </w:r>
    </w:p>
  </w:endnote>
  <w:endnote w:type="continuationSeparator" w:id="0">
    <w:p w:rsidR="007F402F" w:rsidRDefault="007F402F" w:rsidP="00E96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  <w:sig w:usb0="00000000" w:usb1="00000000" w:usb2="00000000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B69" w:rsidRPr="00F14B69" w:rsidRDefault="007F402F" w:rsidP="00E96ED6">
    <w:pPr>
      <w:pStyle w:val="Rodap"/>
      <w:tabs>
        <w:tab w:val="right" w:pos="10204"/>
      </w:tabs>
      <w:ind w:left="-851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02F" w:rsidRDefault="007F402F" w:rsidP="00E96ED6">
      <w:pPr>
        <w:spacing w:after="0" w:line="240" w:lineRule="auto"/>
      </w:pPr>
      <w:r>
        <w:separator/>
      </w:r>
    </w:p>
  </w:footnote>
  <w:footnote w:type="continuationSeparator" w:id="0">
    <w:p w:rsidR="007F402F" w:rsidRDefault="007F402F" w:rsidP="00E96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B69" w:rsidRDefault="007F402F" w:rsidP="009D7739">
    <w:pPr>
      <w:pStyle w:val="Cabealho"/>
      <w:ind w:left="-85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ED6"/>
    <w:rsid w:val="00025146"/>
    <w:rsid w:val="00266F45"/>
    <w:rsid w:val="007F402F"/>
    <w:rsid w:val="00E96ED6"/>
    <w:rsid w:val="00F940B3"/>
    <w:rsid w:val="00FE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E0AC0"/>
  <w15:chartTrackingRefBased/>
  <w15:docId w15:val="{32F15303-397F-41BC-A0B1-0E8BBCA7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96ED6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customStyle="1" w:styleId="CabealhoChar">
    <w:name w:val="Cabeçalho Char"/>
    <w:basedOn w:val="Fontepargpadro"/>
    <w:link w:val="Cabealho"/>
    <w:uiPriority w:val="99"/>
    <w:rsid w:val="00E96ED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96ED6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E96ED6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E96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2026-02-10T11:13:00Z</dcterms:created>
  <dcterms:modified xsi:type="dcterms:W3CDTF">2026-03-11T15:36:00Z</dcterms:modified>
</cp:coreProperties>
</file>